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109</w:t>
      </w:r>
    </w:p>
    <w:p>
      <w:r>
        <w:t>Bundesgericht (BGE), 1999-01-01, FR</w:t>
      </w:r>
    </w:p>
    <w:p>
      <w:r>
        <w:rPr>
          <w:b/>
        </w:rPr>
        <w:t xml:space="preserve">Quelle: </w:t>
      </w:r>
      <w:r>
        <w:t>https://mcp.opencaselaw.ch/entscheid/bge_125 IV 109</w:t>
      </w:r>
    </w:p>
    <w:p>
      <w:r>
        <w:t>FR: ATF 125 IV 109</w:t>
      </w:r>
    </w:p>
    <w:p>
      <w:r>
        <w:t>IT: DTF 125 IV 109</w:t>
      </w:r>
    </w:p>
    <w:p>
      <w:pPr>
        <w:pStyle w:val="Heading2"/>
      </w:pPr>
      <w:r>
        <w:t>Regeste</w:t>
      </w:r>
    </w:p>
    <w:p>
      <w:r>
        <w:t>Regeste Art. 270 Abs. 1 BStP; Legitimation des Geschädigten zur eidgenössischen Nichtigkeitsbeschwerde; Begründungspflicht. Nichteintreten auf die Nichtigkeitsbeschwerde gegen einen Einstellungsbeschluss, da die Beschwerdeführer, die bereits eine erhebliche Schadenersatzsumme erlangt haben, nicht hinreichend darlegen, welche weiteren Zivilforderungen sie gegen die Beklagten geltend machen wollen und inwiefern sich der angefochtene Entscheid negativ auf die Beurteilung dieser Zivilforderungen auswirken kann (E. 2b).</w:t>
      </w:r>
    </w:p>
    <w:p>
      <w:pPr>
        <w:pStyle w:val="Heading2"/>
      </w:pPr>
      <w:r>
        <w:t>Erwägungen</w:t>
      </w:r>
    </w:p>
    <w:p>
      <w:r>
        <w:rPr>
          <w:b/>
        </w:rPr>
        <w:t>E. 1</w:t>
      </w:r>
    </w:p>
    <w:p>
      <w:r>
        <w:t>a) La décision attaquée a été rendue par une autorité d'accusation, qui a confirmé l'ordonnance de classement rendue par le Procureur général, mettant ainsi fin à l'action pénale; le pourvoi est donc recevable à son encontre ( art. 268 ch. 2 PPF ; ATF 123 IV 252 consid. 1 p. 253 et les arrêts cités). BGE 125 IV 109 S. 111 b) Selon l' art. 270 al. 1 PPF , le lésé peut se pourvoir en nullité s'il était déjà partie à la procédure auparavant et dans la mesure où la sentence peut avoir des effets sur le jugement de ses prétentions civiles. Le lésé qui a la qualité de victime au sens de l'art. 2 de la loi sur l'aide aux victimes d'infractions (LAVI; SR 312.5), peut également déduire sa qualité pour recourir, aux mêmes conditions, de l' art. 8 al. 1 let . c LAVI (cf. ATF 120 IV 44 consid. 2a et b). Les recourants, qui se prétendent lésés par les infractions qu'ils invoquent, ont manifestement participé à la procédure auparavant puisqu'ils ont provoqué la décision attaquée par leur recours. On ne pourrait leur reprocher de n'avoir pas pris de conclusions civiles, puisque la cause n'a pas été portée devant une autorité de jugement (cf. ATF 123 IV 254 consid. 1 p. 256 et les arrêts cités). Reste à examiner si, comme il leur incombe en pareil cas, ils indiquent de manière suffisante dans leur mémoire quelles prétentions civiles ils entendent faire valoir et en quoi la décision attaquée peut avoir une influence sur le jugement de celles-ci (cf. ATF 123 IV 254 consid. 1 p. 256 et les arrêts cités). La décision attaquée constate que les recourants - qui l'admettent d'ailleurs expressément - ont obtenu des intimés le remboursement des montants qu'ils avaient été amenés à investir dans la scientologie; les recourants n'ont donc plus de prétentions civiles à faire valoir de ce chef, de sorte qu'il ne peut être question d'un effet négatif de la décision attaquée sur le jugement de ces prétentions (cf. ATF 121 IV 317 consid. 3a p. 323). Les recourants allèguent cependant que la somme qui leur a été versée par les intimés sous la pression de la procédure pénale ne couvre pas l'entier de leur dommage et qu'ils entendent notamment obtenir la réparation du préjudice psychique, voire physique, qu'ils auraient subi, estimant toutefois qu'ils ne sont pas tenus, au stade actuel de la procédure, d'indiquer plus précisément quelles seraient ces prétentions civiles. La jurisprudence admet certes que, jusqu'au classement de la procédure pénale, le lésé n'est pas tenu de formuler des prétentions civiles concrètes. Le cas d'espèce présente toutefois la particularité que les lésés, grâce aux efforts des autorités de poursuite pénale et sous la pression de la procédure pénale, ont déjà obtenu une somme considérable à titre de réparation de leur préjudice. Dans un tel cas, il ne suffit pas que le lésé allègue qu'il a encore d'autres prétentions à faire valoir; il doit formuler celles-ci de manière à ce que l'on puisse discerner ce qui justifie d'entrer en matière sur son pourvoi. BGE 125 IV 109 S. 112 Les recourants se bornent à faire valoir qu'il résulte de l'expertise du Dr T. que l'un d'eux, X., a subi, ensuite des méthodes utilisées par les scientologues, des atteintes à sa santé, dont ils seraient fondés à demander la réparation. On ne voit cependant pas sur quelle base ils pourraient demander la réparation d'un tel préjudice; seules des lésions corporelles, plus précisément des lésions corporelles simples au sens de l' art. 123 CP , pourraient entrer en considération; une telle infraction n'a cependant pas fait l'objet de la poursuite pénale et serait d'ailleurs absolument prescrite; quant aux infractions d'escroquerie, d'usure et d'extorsion encore en cause, on ne voit pas que le recourant X. puisse en déduire les prétentions qu'il invoque et moins encore que la recourante Y. puisse en déduire une quelconque prétention. Ainsi, les recourants n'exposent pas de manière suffisante quelles autres prétentions ils seraient fondés à faire valoir et en quoi la décision attaquée pourrait avoir une influence négative sur le jugement de celles-ci. Le pourvoi est dès lors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